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outlineLvl w:val="0"/>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spacing w:line="520" w:lineRule="exact"/>
        <w:ind w:firstLine="640" w:firstLineChars="200"/>
        <w:jc w:val="center"/>
        <w:outlineLvl w:val="0"/>
        <w:rPr>
          <w:rFonts w:hint="eastAsia" w:ascii="仿宋_GB2312" w:eastAsia="仿宋_GB2312"/>
          <w:sz w:val="32"/>
          <w:szCs w:val="32"/>
        </w:rPr>
      </w:pPr>
      <w:r>
        <w:rPr>
          <w:rFonts w:hint="eastAsia" w:ascii="仿宋_GB2312" w:eastAsia="仿宋_GB2312"/>
          <w:sz w:val="32"/>
          <w:szCs w:val="32"/>
        </w:rPr>
        <w:t>惠公易土市直[20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eastAsia="仿宋_GB2312"/>
          <w:sz w:val="32"/>
          <w:szCs w:val="32"/>
          <w:lang w:val="en-US" w:eastAsia="zh-CN"/>
        </w:rPr>
        <w:t>011</w:t>
      </w:r>
      <w:r>
        <w:rPr>
          <w:rFonts w:hint="eastAsia" w:ascii="仿宋_GB2312" w:eastAsia="仿宋_GB2312"/>
          <w:sz w:val="32"/>
          <w:szCs w:val="32"/>
        </w:rPr>
        <w:t>号</w:t>
      </w:r>
    </w:p>
    <w:p>
      <w:pPr>
        <w:spacing w:line="520" w:lineRule="exact"/>
        <w:ind w:firstLine="640" w:firstLineChars="20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人民政府批准，惠州市</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自然资源局决定以网上挂牌方式出让下列一宗国有建设用地使用权，本次国有建设用地使用权网上挂牌出让交易具体事务委托惠州市公共资源交易中心办理。现将有关事项公告如下：</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keepNext w:val="0"/>
        <w:keepLines w:val="0"/>
        <w:pageBreakBefore w:val="0"/>
        <w:widowControl w:val="0"/>
        <w:kinsoku/>
        <w:wordWrap/>
        <w:overflowPunct/>
        <w:topLinePunct w:val="0"/>
        <w:autoSpaceDE/>
        <w:autoSpaceDN/>
        <w:bidi w:val="0"/>
        <w:spacing w:line="560" w:lineRule="exact"/>
        <w:ind w:left="319" w:leftChars="152" w:firstLine="400" w:firstLineChars="1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时至20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时。</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三、挂牌起始价为人民币</w:t>
      </w:r>
      <w:r>
        <w:rPr>
          <w:rFonts w:hint="eastAsia" w:ascii="仿宋_GB2312" w:hAnsi="仿宋_GB2312" w:eastAsia="仿宋_GB2312" w:cs="仿宋_GB2312"/>
          <w:color w:val="auto"/>
          <w:kern w:val="0"/>
          <w:sz w:val="32"/>
          <w:szCs w:val="32"/>
          <w:lang w:val="en-US" w:eastAsia="zh-CN"/>
        </w:rPr>
        <w:t>1280</w:t>
      </w:r>
      <w:r>
        <w:rPr>
          <w:rFonts w:hint="eastAsia" w:ascii="仿宋_GB2312" w:hAnsi="仿宋_GB2312" w:eastAsia="仿宋_GB2312" w:cs="仿宋_GB2312"/>
          <w:sz w:val="32"/>
          <w:szCs w:val="32"/>
        </w:rPr>
        <w:t>万元,每次报价加价幅度为人民币</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万元的整数倍。</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四、中华人民共和国境内外的法人和其他组织（除法律法规另有规定外）均可申请参加竞买。申请人可以单独申请，也可以联合申请：</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ascii="Times New Roman" w:hAnsi="Times New Roman"/>
          <w:lang w:val="en-US" w:eastAsia="zh-CN"/>
        </w:rPr>
        <w:t>（即竞得人必须是新公司的唯一股东）</w:t>
      </w:r>
      <w:r>
        <w:rPr>
          <w:rFonts w:hint="default" w:ascii="Times New Roman" w:hAnsi="Times New Roman"/>
          <w:lang w:val="en-US" w:eastAsia="zh-CN"/>
        </w:rPr>
        <w:t>。</w:t>
      </w:r>
      <w:r>
        <w:rPr>
          <w:rFonts w:hint="eastAsia" w:hAnsi="仿宋_GB2312" w:cs="仿宋_GB2312"/>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Ansi="仿宋_GB2312" w:cs="仿宋_GB2312"/>
          <w:szCs w:val="32"/>
        </w:rPr>
      </w:pPr>
      <w:r>
        <w:rPr>
          <w:rFonts w:hint="eastAsia" w:hAnsi="仿宋_GB2312" w:cs="仿宋_GB2312"/>
          <w:szCs w:val="32"/>
          <w:lang w:val="en-US" w:eastAsia="zh-CN"/>
        </w:rPr>
        <w:t>五</w:t>
      </w:r>
      <w:r>
        <w:rPr>
          <w:rFonts w:hint="eastAsia" w:hAnsi="仿宋_GB2312" w:cs="仿宋_GB2312"/>
          <w:szCs w:val="32"/>
        </w:rPr>
        <w:t>、申请人应具备的其他条件：</w:t>
      </w:r>
    </w:p>
    <w:p>
      <w:pPr>
        <w:pStyle w:val="3"/>
        <w:keepNext w:val="0"/>
        <w:keepLines w:val="0"/>
        <w:pageBreakBefore w:val="0"/>
        <w:widowControl w:val="0"/>
        <w:kinsoku/>
        <w:wordWrap/>
        <w:overflowPunct/>
        <w:topLinePunct w:val="0"/>
        <w:autoSpaceDE/>
        <w:autoSpaceDN/>
        <w:bidi w:val="0"/>
        <w:spacing w:line="560" w:lineRule="exact"/>
        <w:jc w:val="both"/>
        <w:textAlignment w:val="auto"/>
        <w:outlineLvl w:val="0"/>
        <w:rPr>
          <w:rFonts w:hint="eastAsia" w:hAnsi="仿宋_GB2312" w:cs="仿宋_GB2312"/>
          <w:szCs w:val="32"/>
        </w:rPr>
      </w:pPr>
      <w:r>
        <w:rPr>
          <w:rFonts w:hint="eastAsia" w:hAnsi="仿宋_GB2312" w:cs="仿宋_GB2312"/>
          <w:szCs w:val="32"/>
        </w:rPr>
        <w:t>（一）缴交竞买保证金</w:t>
      </w:r>
      <w:r>
        <w:rPr>
          <w:rFonts w:hint="eastAsia" w:hAnsi="仿宋"/>
          <w:kern w:val="2"/>
          <w:szCs w:val="32"/>
          <w:lang w:val="en-US" w:eastAsia="zh-CN"/>
        </w:rPr>
        <w:t>384</w:t>
      </w:r>
      <w:r>
        <w:rPr>
          <w:rFonts w:hint="eastAsia" w:hAnsi="仿宋_GB2312" w:cs="仿宋_GB2312"/>
          <w:szCs w:val="32"/>
        </w:rPr>
        <w:t>万元人民币。</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outlineLvl w:val="0"/>
        <w:rPr>
          <w:rFonts w:hint="eastAsia" w:hAnsi="仿宋_GB2312" w:cs="仿宋_GB2312"/>
          <w:szCs w:val="32"/>
        </w:rPr>
      </w:pPr>
      <w:r>
        <w:rPr>
          <w:rFonts w:hint="eastAsia" w:hAnsi="仿宋_GB2312" w:cs="仿宋_GB2312"/>
          <w:szCs w:val="32"/>
        </w:rPr>
        <w:t>（</w:t>
      </w:r>
      <w:r>
        <w:rPr>
          <w:rFonts w:hint="eastAsia" w:hAnsi="仿宋_GB2312" w:cs="仿宋_GB2312"/>
          <w:szCs w:val="32"/>
          <w:lang w:val="en-US" w:eastAsia="zh-CN"/>
        </w:rPr>
        <w:t>二</w:t>
      </w:r>
      <w:r>
        <w:rPr>
          <w:rFonts w:hint="eastAsia" w:hAnsi="仿宋_GB2312" w:cs="仿宋_GB2312"/>
          <w:szCs w:val="32"/>
        </w:rPr>
        <w:t>）存在下列违法违规违约行为之一的企业及其控股股东，不得参与竞买上述地块：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1.</w:t>
      </w:r>
      <w:r>
        <w:rPr>
          <w:rFonts w:hint="eastAsia" w:ascii="仿宋" w:hAnsi="仿宋" w:eastAsia="仿宋"/>
          <w:sz w:val="32"/>
          <w:szCs w:val="32"/>
        </w:rPr>
        <w:t>因企业原因造成土地闲置一年以上的</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2.</w:t>
      </w:r>
      <w:r>
        <w:rPr>
          <w:rFonts w:hint="eastAsia" w:ascii="仿宋" w:hAnsi="仿宋" w:eastAsia="仿宋"/>
          <w:sz w:val="32"/>
          <w:szCs w:val="32"/>
        </w:rPr>
        <w:t>存在伪造公文骗取用地和非法倒卖土地等犯罪行为</w:t>
      </w:r>
      <w:r>
        <w:rPr>
          <w:rFonts w:hint="eastAsia" w:ascii="仿宋" w:hAnsi="仿宋" w:eastAsia="仿宋"/>
          <w:sz w:val="32"/>
          <w:szCs w:val="32"/>
          <w:lang w:eastAsia="zh-CN"/>
        </w:rPr>
        <w:t>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rPr>
        <w:t>存在非法转让土地使用权等违法行为的</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开发建设企业违背出让合同约定条件开发利用土地的</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5.</w:t>
      </w:r>
      <w:r>
        <w:rPr>
          <w:rFonts w:hint="eastAsia" w:ascii="仿宋_GB2312" w:hAnsi="宋体" w:eastAsia="仿宋_GB2312" w:cs="宋体"/>
          <w:color w:val="auto"/>
          <w:kern w:val="0"/>
          <w:sz w:val="32"/>
          <w:szCs w:val="32"/>
          <w:lang w:val="en-US" w:eastAsia="zh-CN" w:bidi="ar-SA"/>
        </w:rPr>
        <w:t>至报名日止仍拖欠政府地价款</w:t>
      </w:r>
      <w:r>
        <w:rPr>
          <w:rFonts w:hint="eastAsia" w:ascii="仿宋" w:hAnsi="仿宋" w:eastAsia="仿宋"/>
          <w:sz w:val="32"/>
          <w:szCs w:val="32"/>
        </w:rPr>
        <w:t>的</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、本次国有建设用地使用权网上挂牌出让为无底价挂牌出让，按照价高者得的原则确定竞得人。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、有意竞买者可以自行到地块现场踏勘（可在网上挂牌交易系统查阅位置图和现状图）。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、申请人应当在网上挂牌出让结束前登</w:t>
      </w:r>
      <w:r>
        <w:rPr>
          <w:rFonts w:hint="eastAsia" w:ascii="仿宋_GB2312" w:hAnsi="仿宋_GB2312" w:eastAsia="仿宋_GB2312" w:cs="仿宋_GB2312"/>
          <w:sz w:val="32"/>
          <w:szCs w:val="32"/>
          <w:lang w:val="en-US" w:eastAsia="zh-CN"/>
        </w:rPr>
        <w:t>录</w:t>
      </w:r>
      <w:r>
        <w:rPr>
          <w:rFonts w:hint="eastAsia" w:ascii="仿宋_GB2312" w:hAnsi="仿宋_GB2312" w:eastAsia="仿宋_GB2312" w:cs="仿宋_GB2312"/>
          <w:sz w:val="32"/>
          <w:szCs w:val="32"/>
        </w:rPr>
        <w:t>惠州市公共资源交易中心土地与矿业网上挂牌交易系统并在系统上向惠州市公共资源交易中心提交竞买申请并支付保证金。网上挂牌保证金到账截止时间为20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、网上挂牌系统确定成交后，竞得人缴纳的竞买保证金按</w:t>
      </w:r>
      <w:r>
        <w:rPr>
          <w:rFonts w:hint="eastAsia" w:ascii="仿宋_GB2312" w:hAnsi="仿宋_GB2312" w:eastAsia="仿宋_GB2312" w:cs="仿宋_GB2312"/>
          <w:sz w:val="32"/>
          <w:szCs w:val="32"/>
          <w:lang w:val="en-US" w:eastAsia="zh-CN"/>
        </w:rPr>
        <w:t>成交价的20%转作</w:t>
      </w:r>
      <w:r>
        <w:rPr>
          <w:rFonts w:hint="eastAsia" w:ascii="仿宋_GB2312" w:hAnsi="仿宋_GB2312" w:eastAsia="仿宋_GB2312" w:cs="仿宋_GB2312"/>
          <w:sz w:val="32"/>
          <w:szCs w:val="32"/>
        </w:rPr>
        <w:t>定金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w:t>
      </w:r>
      <w:r>
        <w:rPr>
          <w:rFonts w:hint="eastAsia" w:ascii="仿宋_GB2312" w:hAnsi="仿宋_GB2312" w:eastAsia="仿宋_GB2312" w:cs="仿宋_GB2312"/>
          <w:sz w:val="32"/>
          <w:szCs w:val="32"/>
          <w:lang w:eastAsia="zh-CN"/>
        </w:rPr>
        <w:t>竞买保证金</w:t>
      </w:r>
      <w:r>
        <w:rPr>
          <w:rFonts w:hint="eastAsia" w:ascii="仿宋_GB2312" w:hAnsi="仿宋_GB2312" w:eastAsia="仿宋_GB2312" w:cs="仿宋_GB2312"/>
          <w:sz w:val="32"/>
          <w:szCs w:val="32"/>
          <w:lang w:val="en-US" w:eastAsia="zh-CN"/>
        </w:rPr>
        <w:t>不足以缴纳定金，</w:t>
      </w:r>
      <w:r>
        <w:rPr>
          <w:rFonts w:hint="eastAsia" w:ascii="仿宋_GB2312" w:hAnsi="仿宋_GB2312" w:eastAsia="仿宋_GB2312" w:cs="仿宋_GB2312"/>
          <w:sz w:val="32"/>
          <w:szCs w:val="32"/>
        </w:rPr>
        <w:t>不足部分在交易系统确定成交之日起5个工作日内补齐</w:t>
      </w:r>
      <w:r>
        <w:rPr>
          <w:rFonts w:hint="eastAsia" w:ascii="仿宋_GB2312" w:hAnsi="仿宋_GB2312" w:eastAsia="仿宋_GB2312" w:cs="仿宋_GB2312"/>
          <w:sz w:val="32"/>
          <w:szCs w:val="32"/>
          <w:lang w:eastAsia="zh-CN"/>
        </w:rPr>
        <w:t>；如竞买保证金转作定金</w:t>
      </w:r>
      <w:r>
        <w:rPr>
          <w:rFonts w:hint="eastAsia" w:ascii="仿宋_GB2312" w:hAnsi="仿宋_GB2312" w:eastAsia="仿宋_GB2312" w:cs="仿宋_GB2312"/>
          <w:sz w:val="32"/>
          <w:szCs w:val="32"/>
          <w:lang w:val="en-US" w:eastAsia="zh-CN"/>
        </w:rPr>
        <w:t>后有剩余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余额抵作</w:t>
      </w:r>
      <w:r>
        <w:rPr>
          <w:rFonts w:hint="eastAsia" w:ascii="仿宋_GB2312" w:hAnsi="仿宋_GB2312" w:eastAsia="仿宋_GB2312" w:cs="仿宋_GB2312"/>
          <w:sz w:val="32"/>
          <w:szCs w:val="32"/>
          <w:lang w:val="en-US" w:eastAsia="zh-CN"/>
        </w:rPr>
        <w:t>土地</w:t>
      </w:r>
      <w:r>
        <w:rPr>
          <w:rFonts w:hint="eastAsia" w:ascii="仿宋_GB2312" w:hAnsi="仿宋_GB2312" w:eastAsia="仿宋_GB2312" w:cs="仿宋_GB2312"/>
          <w:sz w:val="32"/>
          <w:szCs w:val="32"/>
        </w:rPr>
        <w:t>成交价</w:t>
      </w:r>
      <w:r>
        <w:rPr>
          <w:rFonts w:hint="eastAsia" w:ascii="仿宋_GB2312" w:hAnsi="仿宋_GB2312" w:eastAsia="仿宋_GB2312" w:cs="仿宋_GB2312"/>
          <w:sz w:val="32"/>
          <w:szCs w:val="32"/>
          <w:lang w:val="en-US" w:eastAsia="zh-CN"/>
        </w:rPr>
        <w:t>的预付</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竞得人签订《出让合同》后，定金可抵作土地成交价款，余额转作成交价款</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、其它需要公告的事项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宋体" w:eastAsia="仿宋_GB2312" w:cs="宋体"/>
          <w:color w:val="auto"/>
          <w:kern w:val="0"/>
          <w:sz w:val="32"/>
          <w:szCs w:val="32"/>
          <w:lang w:val="en-US" w:eastAsia="zh-CN"/>
        </w:rPr>
        <w:t>1.49亿</w:t>
      </w:r>
      <w:r>
        <w:rPr>
          <w:rFonts w:hint="eastAsia" w:ascii="仿宋_GB2312" w:hAnsi="仿宋_GB2312" w:eastAsia="仿宋_GB2312" w:cs="仿宋_GB2312"/>
          <w:sz w:val="32"/>
          <w:szCs w:val="32"/>
        </w:rPr>
        <w:t>元（含地价）。</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kern w:val="2"/>
          <w:sz w:val="32"/>
          <w:szCs w:val="32"/>
          <w:lang w:val="en-US" w:eastAsia="zh-CN" w:bidi="ar-SA"/>
        </w:rPr>
        <w:t>竞得人在用地红线内开发建设必须符合城市规划要求，必须按《</w:t>
      </w:r>
      <w:r>
        <w:rPr>
          <w:rFonts w:hint="eastAsia" w:ascii="仿宋_GB2312" w:hAnsi="仿宋_GB2312" w:eastAsia="仿宋_GB2312" w:cs="仿宋_GB2312"/>
          <w:sz w:val="32"/>
          <w:szCs w:val="32"/>
          <w:lang w:val="en-US" w:eastAsia="zh-CN"/>
        </w:rPr>
        <w:t>建设用地规划设计条件</w:t>
      </w:r>
      <w:r>
        <w:rPr>
          <w:rFonts w:hint="eastAsia" w:ascii="仿宋_GB2312" w:hAnsi="仿宋_GB2312" w:eastAsia="仿宋_GB2312" w:cs="仿宋_GB2312"/>
          <w:kern w:val="2"/>
          <w:sz w:val="32"/>
          <w:szCs w:val="32"/>
          <w:lang w:val="en-US" w:eastAsia="zh-CN" w:bidi="ar-SA"/>
        </w:rPr>
        <w:t>》（案卷编号：</w:t>
      </w:r>
      <w:r>
        <w:rPr>
          <w:rFonts w:hint="eastAsia" w:ascii="仿宋_GB2312" w:hAnsi="仿宋_GB2312" w:eastAsia="仿宋_GB2312" w:cs="仿宋_GB2312"/>
          <w:sz w:val="32"/>
          <w:szCs w:val="32"/>
        </w:rPr>
        <w:t>PB202100</w:t>
      </w:r>
      <w:r>
        <w:rPr>
          <w:rFonts w:hint="eastAsia" w:ascii="仿宋_GB2312" w:hAnsi="仿宋_GB2312" w:eastAsia="仿宋_GB2312" w:cs="仿宋_GB2312"/>
          <w:sz w:val="32"/>
          <w:szCs w:val="32"/>
          <w:lang w:val="en-US" w:eastAsia="zh-CN"/>
        </w:rPr>
        <w:t>88</w:t>
      </w: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kern w:val="2"/>
          <w:sz w:val="32"/>
          <w:szCs w:val="32"/>
          <w:lang w:val="en-US" w:eastAsia="zh-CN" w:bidi="ar-SA"/>
        </w:rPr>
        <w:t>的</w:t>
      </w:r>
      <w:r>
        <w:rPr>
          <w:rFonts w:hint="eastAsia" w:ascii="仿宋_GB2312" w:hAnsi="仿宋_GB2312" w:eastAsia="仿宋_GB2312" w:cs="仿宋_GB2312"/>
          <w:kern w:val="2"/>
          <w:sz w:val="32"/>
          <w:szCs w:val="32"/>
          <w:lang w:val="en-US" w:eastAsia="zh-CN" w:bidi="ar-SA"/>
        </w:rPr>
        <w:t>规划控制指标要求及有关规定进行规划设计</w:t>
      </w:r>
      <w:r>
        <w:rPr>
          <w:rFonts w:hint="eastAsia" w:ascii="仿宋_GB2312" w:hAnsi="宋体" w:eastAsia="仿宋_GB2312" w:cs="宋体"/>
          <w:color w:val="auto"/>
          <w:kern w:val="0"/>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）竞买人须提交惠城区发改局出具的与该宗地块产业类型一致的优先发展产业项目文件。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项目规划建设方案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所报总平面图的主要技术经济指标：</w:t>
      </w:r>
      <w:r>
        <w:rPr>
          <w:rFonts w:hint="eastAsia" w:ascii="仿宋_GB2312" w:hAnsi="仿宋_GB2312" w:eastAsia="仿宋_GB2312" w:cs="仿宋_GB2312"/>
          <w:b w:val="0"/>
          <w:bCs w:val="0"/>
          <w:color w:val="000000"/>
          <w:kern w:val="0"/>
          <w:sz w:val="32"/>
          <w:szCs w:val="32"/>
          <w:lang w:val="en-US" w:eastAsia="zh-CN"/>
        </w:rPr>
        <w:t>规划布局3栋厂房，计算指标用地面积12453平方米，建筑层数地上最高13层，地下1层，建筑高度最高64.1米，计容积率总建筑面积31106.12平方米，容积率2.5，建筑密度43.73%，绿地率15%，机动车停车位107个，非机动车停车位186个。 各项指标满足《建设用地规划设计条件》（PB20210088)要求，须按程序进行公示，公示期未收到公众意见后则同意所报总平面图及单体建筑设计方案。排水须采用雨、污分流制，并预留市政管线接驳口，建筑设计须符合国家、省、市有关绿色建筑和建筑节能方面的技术规范和标准，须按海绵城市设计要求做好设计及施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eastAsia="zh-CN"/>
        </w:rPr>
        <w:t>招商条件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投资强度不低于12000元/平方米，土地产出率（营业收入）不低于20254元/平方米/年，税收产出不低于1000元/平方米/年。其中，土地产出率及税收产出，在项目投产后3年内逐年考核，3年内的平均值不得低于上述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向自然资源部门申请，经惠城区人民政府备案同意，并符合惠城区产业发展方向及项目入区审核标准。本宗地交付乙方后,乙方须向惠州市惠城区人民政府水口街道办事处提交项目投资计划书和时间安排表，并按月向惠州市惠城区人民政府水口街道办事处书面报告项目进展情况，直至项目投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）竞得人在签订《成交确认书》前，须与</w:t>
      </w:r>
      <w:r>
        <w:rPr>
          <w:rFonts w:hint="eastAsia" w:ascii="仿宋_GB2312" w:hAnsi="仿宋_GB2312" w:eastAsia="仿宋_GB2312" w:cs="仿宋_GB2312"/>
          <w:b w:val="0"/>
          <w:bCs w:val="0"/>
          <w:color w:val="000000"/>
          <w:kern w:val="0"/>
          <w:sz w:val="32"/>
          <w:szCs w:val="32"/>
          <w:lang w:val="en-US" w:eastAsia="zh-CN"/>
        </w:rPr>
        <w:t>惠州市惠城区人民政府水口街道办事处</w:t>
      </w:r>
      <w:r>
        <w:rPr>
          <w:rFonts w:hint="eastAsia" w:ascii="仿宋_GB2312" w:hAnsi="仿宋_GB2312" w:eastAsia="仿宋_GB2312" w:cs="仿宋_GB2312"/>
          <w:color w:val="auto"/>
          <w:sz w:val="32"/>
          <w:szCs w:val="32"/>
        </w:rPr>
        <w:t>签订《</w:t>
      </w:r>
      <w:r>
        <w:rPr>
          <w:rFonts w:hint="eastAsia" w:ascii="仿宋_GB2312" w:hAnsi="仿宋_GB2312" w:eastAsia="仿宋_GB2312" w:cs="仿宋_GB2312"/>
          <w:color w:val="auto"/>
          <w:sz w:val="32"/>
          <w:szCs w:val="32"/>
          <w:lang w:eastAsia="zh-CN"/>
        </w:rPr>
        <w:t>项目实施监管协议书</w:t>
      </w:r>
      <w:r>
        <w:rPr>
          <w:rFonts w:hint="eastAsia" w:ascii="仿宋_GB2312" w:hAnsi="仿宋_GB2312" w:eastAsia="仿宋_GB2312" w:cs="仿宋_GB2312"/>
          <w:color w:val="auto"/>
          <w:sz w:val="32"/>
          <w:szCs w:val="32"/>
        </w:rPr>
        <w:t>》，并由</w:t>
      </w:r>
      <w:r>
        <w:rPr>
          <w:rFonts w:hint="eastAsia" w:ascii="仿宋_GB2312" w:hAnsi="仿宋_GB2312" w:eastAsia="仿宋_GB2312" w:cs="仿宋_GB2312"/>
          <w:b w:val="0"/>
          <w:bCs w:val="0"/>
          <w:color w:val="000000"/>
          <w:kern w:val="0"/>
          <w:sz w:val="32"/>
          <w:szCs w:val="32"/>
          <w:lang w:val="en-US" w:eastAsia="zh-CN"/>
        </w:rPr>
        <w:t>惠州市惠城区人民政府水口街道办事处</w:t>
      </w:r>
      <w:r>
        <w:rPr>
          <w:rFonts w:hint="eastAsia" w:ascii="仿宋_GB2312" w:hAnsi="仿宋_GB2312" w:eastAsia="仿宋_GB2312" w:cs="仿宋_GB2312"/>
          <w:color w:val="auto"/>
          <w:sz w:val="32"/>
          <w:szCs w:val="32"/>
        </w:rPr>
        <w:t>对项目用地实施批后监管。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竞得人有下列行为之一的，视为违约，取消竞得人资格，</w:t>
      </w:r>
      <w:r>
        <w:rPr>
          <w:rFonts w:hint="eastAsia" w:ascii="仿宋_GB2312" w:hAnsi="仿宋_GB2312" w:eastAsia="仿宋_GB2312" w:cs="仿宋_GB2312"/>
          <w:sz w:val="32"/>
          <w:szCs w:val="32"/>
          <w:lang w:val="en-US" w:eastAsia="zh-CN"/>
        </w:rPr>
        <w:t>定金不予返还</w:t>
      </w:r>
      <w:r>
        <w:rPr>
          <w:rFonts w:hint="eastAsia" w:ascii="仿宋_GB2312" w:hAnsi="仿宋_GB2312" w:eastAsia="仿宋_GB2312" w:cs="仿宋_GB2312"/>
          <w:sz w:val="32"/>
          <w:szCs w:val="32"/>
        </w:rPr>
        <w:t>,并由有关部门依法处理;造成损失的，竞得人还应依法承担赔偿责任：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1、不符合竞买资格条件的；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2、采取行贿、恶意串通等非法手段竞得的；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3、竞得人以其他非法手段竞得的；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4、竞得人逾期或拒绝签订《成交确认书》的；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5、竞得人逾期或拒绝签订《出让合同》的；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7、构成违约责任的其他行为。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）挂牌出让价款不含应由竞得人缴纳的契税、印花税等有关费用。</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（一）惠州市</w:t>
      </w:r>
      <w:r>
        <w:rPr>
          <w:rFonts w:hint="eastAsia" w:ascii="仿宋_GB2312" w:hAnsi="仿宋_GB2312" w:eastAsia="仿宋_GB2312" w:cs="仿宋_GB2312"/>
          <w:color w:val="auto"/>
          <w:sz w:val="32"/>
          <w:szCs w:val="32"/>
          <w:lang w:val="en-US" w:eastAsia="zh-CN"/>
        </w:rPr>
        <w:t>惠城区</w:t>
      </w:r>
      <w:r>
        <w:rPr>
          <w:rFonts w:hint="eastAsia" w:ascii="仿宋_GB2312" w:hAnsi="仿宋_GB2312" w:eastAsia="仿宋_GB2312" w:cs="仿宋_GB2312"/>
          <w:color w:val="auto"/>
          <w:sz w:val="32"/>
          <w:szCs w:val="32"/>
        </w:rPr>
        <w:t>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地址：惠州市</w:t>
      </w:r>
      <w:r>
        <w:rPr>
          <w:rFonts w:hint="eastAsia" w:ascii="仿宋_GB2312" w:hAnsi="仿宋_GB2312" w:eastAsia="仿宋_GB2312" w:cs="仿宋_GB2312"/>
          <w:color w:val="auto"/>
          <w:sz w:val="32"/>
          <w:szCs w:val="32"/>
          <w:lang w:val="en-US" w:eastAsia="zh-CN"/>
        </w:rPr>
        <w:t>下埔路16号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陈先生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2117378</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联系地址：广东省惠州市</w:t>
      </w:r>
      <w:r>
        <w:rPr>
          <w:rFonts w:hint="eastAsia" w:ascii="仿宋_GB2312" w:hAnsi="仿宋_GB2312" w:eastAsia="仿宋_GB2312" w:cs="仿宋_GB2312"/>
          <w:sz w:val="32"/>
          <w:szCs w:val="32"/>
          <w:lang w:val="en-US" w:eastAsia="zh-CN"/>
        </w:rPr>
        <w:t>惠城区三新北路31号市民服务中心3号楼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联系人：袁小姐、</w:t>
      </w:r>
      <w:r>
        <w:rPr>
          <w:rFonts w:hint="eastAsia" w:ascii="仿宋_GB2312" w:hAnsi="仿宋_GB2312" w:eastAsia="仿宋_GB2312" w:cs="仿宋_GB2312"/>
          <w:sz w:val="32"/>
          <w:szCs w:val="32"/>
          <w:lang w:val="en-US" w:eastAsia="zh-CN"/>
        </w:rPr>
        <w:t>叶</w:t>
      </w:r>
      <w:r>
        <w:rPr>
          <w:rFonts w:hint="eastAsia" w:ascii="仿宋_GB2312" w:hAnsi="仿宋_GB2312" w:eastAsia="仿宋_GB2312" w:cs="仿宋_GB2312"/>
          <w:sz w:val="32"/>
          <w:szCs w:val="32"/>
        </w:rPr>
        <w:t>小姐</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7121026、7121042</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keepNext w:val="0"/>
        <w:keepLines w:val="0"/>
        <w:pageBreakBefore w:val="0"/>
        <w:widowControl w:val="0"/>
        <w:kinsoku/>
        <w:wordWrap/>
        <w:overflowPunct/>
        <w:topLinePunct w:val="0"/>
        <w:autoSpaceDE/>
        <w:autoSpaceDN/>
        <w:bidi w:val="0"/>
        <w:spacing w:line="560" w:lineRule="exact"/>
        <w:ind w:left="487" w:leftChars="232"/>
        <w:textAlignment w:val="auto"/>
        <w:rPr>
          <w:rFonts w:ascii="宋体" w:hAnsi="宋体" w:cs="宋体"/>
          <w:color w:val="696969"/>
          <w:sz w:val="32"/>
          <w:szCs w:val="32"/>
        </w:rPr>
      </w:pPr>
      <w:r>
        <w:rPr>
          <w:rFonts w:hint="eastAsia" w:ascii="仿宋_GB2312" w:hAnsi="仿宋_GB2312" w:eastAsia="仿宋_GB2312" w:cs="仿宋_GB2312"/>
          <w:sz w:val="32"/>
          <w:szCs w:val="32"/>
        </w:rPr>
        <w:t>数字证书办理地址：广东省惠州市</w:t>
      </w:r>
      <w:r>
        <w:rPr>
          <w:rFonts w:hint="eastAsia" w:ascii="仿宋_GB2312" w:hAnsi="仿宋_GB2312" w:eastAsia="仿宋_GB2312" w:cs="仿宋_GB2312"/>
          <w:sz w:val="32"/>
          <w:szCs w:val="32"/>
          <w:lang w:val="en-US" w:eastAsia="zh-CN"/>
        </w:rPr>
        <w:t>惠城区三新北路31号市民服务中心3号楼惠州市公共资源交易中心一楼大厅1号土地与矿业交易窗口。</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7121029</w:t>
      </w:r>
    </w:p>
    <w:p>
      <w:pPr>
        <w:keepNext w:val="0"/>
        <w:keepLines w:val="0"/>
        <w:pageBreakBefore w:val="0"/>
        <w:widowControl w:val="0"/>
        <w:kinsoku/>
        <w:wordWrap/>
        <w:overflowPunct/>
        <w:topLinePunct w:val="0"/>
        <w:autoSpaceDE/>
        <w:autoSpaceDN/>
        <w:bidi w:val="0"/>
        <w:spacing w:line="560" w:lineRule="exact"/>
        <w:ind w:right="640" w:firstLine="5033" w:firstLineChars="1573"/>
        <w:textAlignment w:val="auto"/>
        <w:rPr>
          <w:rFonts w:hint="eastAsia" w:ascii="仿宋_GB2312" w:hAnsi="仿宋_GB2312" w:eastAsia="仿宋_GB2312" w:cs="仿宋_GB2312"/>
          <w:sz w:val="32"/>
          <w:szCs w:val="32"/>
        </w:rPr>
      </w:pPr>
    </w:p>
    <w:p>
      <w:pPr>
        <w:spacing w:line="360" w:lineRule="auto"/>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w:t>
      </w:r>
      <w:r>
        <w:rPr>
          <w:rFonts w:hint="eastAsia" w:ascii="仿宋_GB2312" w:hAnsi="仿宋_GB2312" w:eastAsia="仿宋_GB2312" w:cs="仿宋_GB2312"/>
          <w:sz w:val="32"/>
          <w:szCs w:val="32"/>
          <w:lang w:eastAsia="zh-CN"/>
        </w:rPr>
        <w:t>惠城区</w:t>
      </w:r>
      <w:r>
        <w:rPr>
          <w:rFonts w:hint="eastAsia" w:ascii="仿宋_GB2312" w:hAnsi="仿宋_GB2312" w:eastAsia="仿宋_GB2312" w:cs="仿宋_GB2312"/>
          <w:sz w:val="32"/>
          <w:szCs w:val="32"/>
        </w:rPr>
        <w:t>自然资源局</w:t>
      </w:r>
    </w:p>
    <w:p>
      <w:pPr>
        <w:spacing w:line="360" w:lineRule="auto"/>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惠州市公共资源交易中心</w:t>
      </w:r>
    </w:p>
    <w:p>
      <w:pPr>
        <w:spacing w:line="360" w:lineRule="auto"/>
        <w:ind w:firstLine="5120" w:firstLineChars="1600"/>
        <w:jc w:val="both"/>
        <w:rPr>
          <w:rFonts w:hint="default" w:ascii="仿宋_GB2312" w:hAnsi="仿宋_GB2312" w:eastAsia="仿宋_GB2312" w:cs="仿宋_GB2312"/>
          <w:sz w:val="32"/>
          <w:szCs w:val="32"/>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hAnsi="仿宋_GB2312" w:eastAsia="仿宋_GB2312" w:cs="仿宋_GB2312"/>
          <w:sz w:val="32"/>
          <w:szCs w:val="32"/>
          <w:lang w:val="en-US" w:eastAsia="zh-CN"/>
        </w:rPr>
        <w:t>2022年5月13日</w:t>
      </w:r>
    </w:p>
    <w:p>
      <w:pPr>
        <w:spacing w:line="360" w:lineRule="auto"/>
        <w:rPr>
          <w:rFonts w:hint="eastAsia" w:ascii="黑体" w:hAnsi="黑体" w:eastAsia="黑体"/>
          <w:sz w:val="32"/>
          <w:szCs w:val="32"/>
        </w:rPr>
      </w:pPr>
      <w:bookmarkStart w:id="0" w:name="_GoBack"/>
      <w:bookmarkEnd w:id="0"/>
      <w:r>
        <w:rPr>
          <w:rFonts w:hint="eastAsia" w:ascii="黑体" w:hAnsi="黑体" w:eastAsia="黑体"/>
          <w:sz w:val="32"/>
          <w:szCs w:val="32"/>
        </w:rPr>
        <w:t>附表</w:t>
      </w:r>
    </w:p>
    <w:p>
      <w:pPr>
        <w:tabs>
          <w:tab w:val="left" w:pos="9720"/>
        </w:tabs>
        <w:spacing w:line="360" w:lineRule="auto"/>
        <w:jc w:val="center"/>
        <w:outlineLvl w:val="0"/>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p>
      <w:pPr>
        <w:pStyle w:val="2"/>
        <w:rPr>
          <w:rFonts w:hint="eastAsia"/>
        </w:rPr>
      </w:pPr>
    </w:p>
    <w:tbl>
      <w:tblPr>
        <w:tblStyle w:val="6"/>
        <w:tblW w:w="10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90"/>
        <w:gridCol w:w="615"/>
        <w:gridCol w:w="570"/>
        <w:gridCol w:w="774"/>
        <w:gridCol w:w="948"/>
        <w:gridCol w:w="720"/>
        <w:gridCol w:w="672"/>
        <w:gridCol w:w="1650"/>
        <w:gridCol w:w="1087"/>
        <w:gridCol w:w="900"/>
        <w:gridCol w:w="979"/>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5"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挂牌地块编号</w:t>
            </w:r>
          </w:p>
        </w:tc>
        <w:tc>
          <w:tcPr>
            <w:tcW w:w="690"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土地</w:t>
            </w:r>
          </w:p>
          <w:p>
            <w:pPr>
              <w:spacing w:line="320" w:lineRule="exact"/>
              <w:jc w:val="center"/>
              <w:rPr>
                <w:rFonts w:hint="eastAsia" w:ascii="仿宋_GB2312" w:eastAsia="仿宋_GB2312"/>
                <w:b/>
                <w:bCs/>
                <w:szCs w:val="21"/>
              </w:rPr>
            </w:pPr>
            <w:r>
              <w:rPr>
                <w:rFonts w:hint="eastAsia" w:ascii="仿宋_GB2312" w:eastAsia="仿宋_GB2312"/>
                <w:b/>
                <w:bCs/>
                <w:szCs w:val="21"/>
              </w:rPr>
              <w:t>位置</w:t>
            </w:r>
          </w:p>
        </w:tc>
        <w:tc>
          <w:tcPr>
            <w:tcW w:w="615"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lang w:val="en-US" w:eastAsia="zh-CN"/>
              </w:rPr>
              <w:t>地块</w:t>
            </w:r>
            <w:r>
              <w:rPr>
                <w:rFonts w:hint="eastAsia" w:ascii="仿宋_GB2312" w:eastAsia="仿宋_GB2312"/>
                <w:b/>
                <w:bCs/>
                <w:szCs w:val="21"/>
              </w:rPr>
              <w:t>编号</w:t>
            </w:r>
          </w:p>
        </w:tc>
        <w:tc>
          <w:tcPr>
            <w:tcW w:w="570"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土地</w:t>
            </w:r>
          </w:p>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用途</w:t>
            </w:r>
          </w:p>
        </w:tc>
        <w:tc>
          <w:tcPr>
            <w:tcW w:w="774"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宗地使用权面积（</w:t>
            </w:r>
            <w:r>
              <w:rPr>
                <w:rFonts w:hint="eastAsia" w:ascii="宋体" w:hAnsi="宋体" w:cs="宋体"/>
                <w:b/>
                <w:bCs/>
                <w:szCs w:val="21"/>
              </w:rPr>
              <w:t>㎡</w:t>
            </w:r>
            <w:r>
              <w:rPr>
                <w:rFonts w:hint="eastAsia" w:ascii="仿宋_GB2312" w:eastAsia="仿宋_GB2312"/>
                <w:b/>
                <w:bCs/>
                <w:szCs w:val="21"/>
              </w:rPr>
              <w:t>）</w:t>
            </w:r>
          </w:p>
        </w:tc>
        <w:tc>
          <w:tcPr>
            <w:tcW w:w="6956" w:type="dxa"/>
            <w:gridSpan w:val="7"/>
            <w:vAlign w:val="center"/>
          </w:tcPr>
          <w:p>
            <w:pPr>
              <w:adjustRightInd w:val="0"/>
              <w:snapToGrid w:val="0"/>
              <w:spacing w:line="320" w:lineRule="exact"/>
              <w:ind w:left="1" w:leftChars="-89" w:hanging="188" w:hangingChars="89"/>
              <w:jc w:val="center"/>
              <w:rPr>
                <w:rFonts w:hint="eastAsia" w:ascii="仿宋_GB2312" w:eastAsia="仿宋_GB2312"/>
                <w:b/>
                <w:bCs/>
                <w:szCs w:val="21"/>
              </w:rPr>
            </w:pPr>
            <w:r>
              <w:rPr>
                <w:rFonts w:hint="eastAsia" w:ascii="仿宋_GB2312" w:eastAsia="仿宋_GB2312"/>
                <w:b/>
                <w:bCs/>
                <w:szCs w:val="21"/>
              </w:rPr>
              <w:t>规划指标要求</w:t>
            </w:r>
          </w:p>
        </w:tc>
        <w:tc>
          <w:tcPr>
            <w:tcW w:w="670" w:type="dxa"/>
            <w:vMerge w:val="restart"/>
            <w:vAlign w:val="center"/>
          </w:tcPr>
          <w:p>
            <w:pPr>
              <w:autoSpaceDE w:val="0"/>
              <w:autoSpaceDN w:val="0"/>
              <w:adjustRightInd w:val="0"/>
              <w:spacing w:line="240" w:lineRule="exact"/>
              <w:jc w:val="center"/>
              <w:rPr>
                <w:rFonts w:hint="eastAsia" w:ascii="仿宋_GB2312" w:eastAsia="仿宋_GB2312"/>
                <w:b/>
                <w:bCs/>
              </w:rPr>
            </w:pPr>
            <w:r>
              <w:rPr>
                <w:rFonts w:hint="eastAsia" w:ascii="仿宋_GB2312" w:eastAsia="仿宋_GB2312"/>
                <w:b/>
                <w:bCs/>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705" w:type="dxa"/>
            <w:vMerge w:val="continue"/>
            <w:vAlign w:val="center"/>
          </w:tcPr>
          <w:p>
            <w:pPr>
              <w:adjustRightInd w:val="0"/>
              <w:snapToGrid w:val="0"/>
              <w:spacing w:line="320" w:lineRule="exact"/>
              <w:jc w:val="center"/>
              <w:rPr>
                <w:rFonts w:hint="eastAsia" w:ascii="仿宋_GB2312" w:eastAsia="仿宋_GB2312"/>
                <w:b/>
                <w:bCs/>
              </w:rPr>
            </w:pPr>
          </w:p>
        </w:tc>
        <w:tc>
          <w:tcPr>
            <w:tcW w:w="690" w:type="dxa"/>
            <w:vMerge w:val="continue"/>
            <w:vAlign w:val="center"/>
          </w:tcPr>
          <w:p>
            <w:pPr>
              <w:adjustRightInd w:val="0"/>
              <w:snapToGrid w:val="0"/>
              <w:spacing w:line="320" w:lineRule="exact"/>
              <w:jc w:val="center"/>
              <w:rPr>
                <w:rFonts w:hint="eastAsia" w:ascii="仿宋_GB2312" w:eastAsia="仿宋_GB2312"/>
                <w:b/>
                <w:bCs/>
              </w:rPr>
            </w:pPr>
          </w:p>
        </w:tc>
        <w:tc>
          <w:tcPr>
            <w:tcW w:w="615" w:type="dxa"/>
            <w:vMerge w:val="continue"/>
            <w:vAlign w:val="center"/>
          </w:tcPr>
          <w:p>
            <w:pPr>
              <w:adjustRightInd w:val="0"/>
              <w:snapToGrid w:val="0"/>
              <w:spacing w:line="320" w:lineRule="exact"/>
              <w:jc w:val="center"/>
              <w:rPr>
                <w:rFonts w:hint="eastAsia" w:ascii="仿宋_GB2312" w:eastAsia="仿宋_GB2312"/>
                <w:b/>
                <w:bCs/>
              </w:rPr>
            </w:pPr>
          </w:p>
        </w:tc>
        <w:tc>
          <w:tcPr>
            <w:tcW w:w="570" w:type="dxa"/>
            <w:vMerge w:val="continue"/>
            <w:vAlign w:val="center"/>
          </w:tcPr>
          <w:p>
            <w:pPr>
              <w:adjustRightInd w:val="0"/>
              <w:snapToGrid w:val="0"/>
              <w:spacing w:line="320" w:lineRule="exact"/>
              <w:jc w:val="center"/>
              <w:rPr>
                <w:rFonts w:hint="eastAsia" w:ascii="仿宋_GB2312" w:eastAsia="仿宋_GB2312"/>
                <w:b/>
                <w:bCs/>
              </w:rPr>
            </w:pPr>
          </w:p>
        </w:tc>
        <w:tc>
          <w:tcPr>
            <w:tcW w:w="774" w:type="dxa"/>
            <w:vMerge w:val="continue"/>
            <w:vAlign w:val="center"/>
          </w:tcPr>
          <w:p>
            <w:pPr>
              <w:adjustRightInd w:val="0"/>
              <w:snapToGrid w:val="0"/>
              <w:spacing w:line="320" w:lineRule="exact"/>
              <w:jc w:val="center"/>
              <w:rPr>
                <w:rFonts w:hint="eastAsia" w:ascii="仿宋_GB2312" w:eastAsia="仿宋_GB2312"/>
                <w:b/>
                <w:bCs/>
              </w:rPr>
            </w:pPr>
          </w:p>
        </w:tc>
        <w:tc>
          <w:tcPr>
            <w:tcW w:w="948" w:type="dxa"/>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计算指标用地面积（</w:t>
            </w:r>
            <w:r>
              <w:rPr>
                <w:rFonts w:hint="eastAsia" w:ascii="宋体" w:hAnsi="宋体" w:cs="宋体"/>
                <w:b/>
                <w:bCs/>
                <w:szCs w:val="21"/>
              </w:rPr>
              <w:t>㎡</w:t>
            </w:r>
            <w:r>
              <w:rPr>
                <w:rFonts w:hint="eastAsia" w:ascii="仿宋_GB2312" w:eastAsia="仿宋_GB2312"/>
                <w:b/>
                <w:bCs/>
                <w:szCs w:val="21"/>
              </w:rPr>
              <w:t>）</w:t>
            </w:r>
          </w:p>
        </w:tc>
        <w:tc>
          <w:tcPr>
            <w:tcW w:w="720" w:type="dxa"/>
            <w:vAlign w:val="center"/>
          </w:tcPr>
          <w:p>
            <w:pPr>
              <w:autoSpaceDE w:val="0"/>
              <w:autoSpaceDN w:val="0"/>
              <w:adjustRightInd w:val="0"/>
              <w:spacing w:line="240" w:lineRule="exact"/>
              <w:jc w:val="center"/>
              <w:rPr>
                <w:rFonts w:hint="eastAsia" w:eastAsia="仿宋_GB2312"/>
                <w:b/>
                <w:szCs w:val="21"/>
                <w:lang w:eastAsia="zh-CN"/>
              </w:rPr>
            </w:pPr>
            <w:r>
              <w:rPr>
                <w:rFonts w:hint="eastAsia" w:eastAsia="仿宋_GB2312"/>
                <w:b/>
                <w:szCs w:val="21"/>
              </w:rPr>
              <w:t>建筑</w:t>
            </w:r>
            <w:r>
              <w:rPr>
                <w:rFonts w:hint="eastAsia" w:eastAsia="仿宋_GB2312"/>
                <w:b/>
                <w:szCs w:val="21"/>
                <w:lang w:val="en-US" w:eastAsia="zh-CN"/>
              </w:rPr>
              <w:t>系数</w:t>
            </w:r>
          </w:p>
          <w:p>
            <w:pPr>
              <w:autoSpaceDE w:val="0"/>
              <w:autoSpaceDN w:val="0"/>
              <w:adjustRightInd w:val="0"/>
              <w:spacing w:line="240" w:lineRule="exact"/>
              <w:jc w:val="center"/>
              <w:rPr>
                <w:rFonts w:hint="eastAsia" w:ascii="仿宋_GB2312" w:eastAsia="仿宋_GB2312"/>
                <w:b/>
                <w:bCs/>
                <w:szCs w:val="21"/>
              </w:rPr>
            </w:pPr>
            <w:r>
              <w:rPr>
                <w:rFonts w:hint="eastAsia" w:ascii="宋体" w:hAnsi="宋体" w:cs="宋体"/>
                <w:b/>
                <w:szCs w:val="21"/>
              </w:rPr>
              <w:t>（％）</w:t>
            </w:r>
          </w:p>
        </w:tc>
        <w:tc>
          <w:tcPr>
            <w:tcW w:w="672" w:type="dxa"/>
            <w:vAlign w:val="center"/>
          </w:tcPr>
          <w:p>
            <w:pPr>
              <w:autoSpaceDE w:val="0"/>
              <w:autoSpaceDN w:val="0"/>
              <w:adjustRightInd w:val="0"/>
              <w:spacing w:line="240" w:lineRule="exact"/>
              <w:jc w:val="center"/>
              <w:rPr>
                <w:rFonts w:hint="eastAsia" w:ascii="仿宋_GB2312" w:eastAsia="仿宋_GB2312"/>
                <w:b/>
                <w:bCs/>
                <w:szCs w:val="21"/>
              </w:rPr>
            </w:pPr>
            <w:r>
              <w:rPr>
                <w:rFonts w:hint="eastAsia" w:ascii="仿宋_GB2312" w:eastAsia="仿宋_GB2312"/>
                <w:b/>
                <w:bCs/>
                <w:szCs w:val="21"/>
              </w:rPr>
              <w:t>容积率</w:t>
            </w:r>
          </w:p>
        </w:tc>
        <w:tc>
          <w:tcPr>
            <w:tcW w:w="1650" w:type="dxa"/>
            <w:vAlign w:val="center"/>
          </w:tcPr>
          <w:p>
            <w:pPr>
              <w:spacing w:line="320" w:lineRule="exact"/>
              <w:ind w:left="44" w:right="-53" w:rightChars="-25" w:hanging="44" w:hangingChars="21"/>
              <w:jc w:val="center"/>
              <w:rPr>
                <w:rFonts w:hint="eastAsia" w:ascii="仿宋_GB2312" w:eastAsia="仿宋_GB2312"/>
                <w:b/>
                <w:bCs/>
                <w:szCs w:val="21"/>
              </w:rPr>
            </w:pPr>
            <w:r>
              <w:rPr>
                <w:rFonts w:hint="eastAsia" w:ascii="仿宋_GB2312" w:eastAsia="仿宋_GB2312"/>
                <w:b/>
                <w:bCs/>
                <w:szCs w:val="21"/>
              </w:rPr>
              <w:t>计容积率建筑面积（</w:t>
            </w:r>
            <w:r>
              <w:rPr>
                <w:rFonts w:hint="eastAsia" w:ascii="宋体" w:hAnsi="宋体" w:cs="宋体"/>
                <w:b/>
                <w:bCs/>
                <w:szCs w:val="21"/>
              </w:rPr>
              <w:t>㎡</w:t>
            </w:r>
            <w:r>
              <w:rPr>
                <w:rFonts w:hint="eastAsia" w:ascii="仿宋_GB2312" w:eastAsia="仿宋_GB2312"/>
                <w:b/>
                <w:bCs/>
                <w:szCs w:val="21"/>
              </w:rPr>
              <w:t>）</w:t>
            </w:r>
          </w:p>
        </w:tc>
        <w:tc>
          <w:tcPr>
            <w:tcW w:w="1087" w:type="dxa"/>
            <w:vAlign w:val="center"/>
          </w:tcPr>
          <w:p>
            <w:pPr>
              <w:autoSpaceDE w:val="0"/>
              <w:autoSpaceDN w:val="0"/>
              <w:adjustRightInd w:val="0"/>
              <w:spacing w:line="240" w:lineRule="exact"/>
              <w:jc w:val="center"/>
              <w:rPr>
                <w:rFonts w:hint="eastAsia" w:ascii="仿宋_GB2312" w:eastAsia="仿宋_GB2312"/>
                <w:b/>
                <w:bCs/>
              </w:rPr>
            </w:pPr>
            <w:r>
              <w:rPr>
                <w:rFonts w:hint="eastAsia" w:eastAsia="仿宋_GB2312"/>
                <w:b/>
                <w:szCs w:val="21"/>
              </w:rPr>
              <w:t>机动车停车位配建标准</w:t>
            </w:r>
          </w:p>
        </w:tc>
        <w:tc>
          <w:tcPr>
            <w:tcW w:w="900"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绿地率</w:t>
            </w:r>
          </w:p>
          <w:p>
            <w:pPr>
              <w:autoSpaceDE w:val="0"/>
              <w:autoSpaceDN w:val="0"/>
              <w:adjustRightInd w:val="0"/>
              <w:spacing w:line="240" w:lineRule="exact"/>
              <w:jc w:val="center"/>
              <w:rPr>
                <w:rFonts w:hint="eastAsia" w:eastAsia="仿宋_GB2312"/>
                <w:b/>
                <w:szCs w:val="21"/>
              </w:rPr>
            </w:pPr>
            <w:r>
              <w:rPr>
                <w:rFonts w:hint="eastAsia" w:ascii="宋体" w:hAnsi="宋体" w:cs="宋体"/>
                <w:b/>
                <w:szCs w:val="21"/>
              </w:rPr>
              <w:t>（％）</w:t>
            </w:r>
          </w:p>
        </w:tc>
        <w:tc>
          <w:tcPr>
            <w:tcW w:w="979" w:type="dxa"/>
            <w:vAlign w:val="center"/>
          </w:tcPr>
          <w:p>
            <w:pPr>
              <w:autoSpaceDE w:val="0"/>
              <w:autoSpaceDN w:val="0"/>
              <w:adjustRightInd w:val="0"/>
              <w:spacing w:line="240" w:lineRule="exact"/>
              <w:jc w:val="center"/>
              <w:rPr>
                <w:rFonts w:hint="eastAsia" w:ascii="仿宋_GB2312" w:eastAsia="仿宋_GB2312"/>
                <w:b/>
                <w:bCs/>
                <w:szCs w:val="21"/>
                <w:lang w:eastAsia="zh-CN"/>
              </w:rPr>
            </w:pPr>
            <w:r>
              <w:rPr>
                <w:rFonts w:hint="eastAsia" w:ascii="仿宋_GB2312" w:eastAsia="仿宋_GB2312"/>
                <w:b/>
                <w:bCs/>
                <w:szCs w:val="21"/>
                <w:lang w:eastAsia="zh-CN"/>
              </w:rPr>
              <w:t>产业</w:t>
            </w:r>
          </w:p>
          <w:p>
            <w:pPr>
              <w:autoSpaceDE w:val="0"/>
              <w:autoSpaceDN w:val="0"/>
              <w:adjustRightInd w:val="0"/>
              <w:spacing w:line="240" w:lineRule="exact"/>
              <w:jc w:val="center"/>
              <w:rPr>
                <w:rFonts w:hint="eastAsia" w:ascii="仿宋_GB2312" w:eastAsia="仿宋_GB2312"/>
                <w:b/>
                <w:bCs/>
                <w:lang w:eastAsia="zh-CN"/>
              </w:rPr>
            </w:pPr>
            <w:r>
              <w:rPr>
                <w:rFonts w:hint="eastAsia" w:ascii="仿宋_GB2312" w:eastAsia="仿宋_GB2312"/>
                <w:b/>
                <w:bCs/>
                <w:szCs w:val="21"/>
                <w:lang w:eastAsia="zh-CN"/>
              </w:rPr>
              <w:t>类型</w:t>
            </w:r>
          </w:p>
        </w:tc>
        <w:tc>
          <w:tcPr>
            <w:tcW w:w="670" w:type="dxa"/>
            <w:vMerge w:val="continue"/>
            <w:vAlign w:val="center"/>
          </w:tcPr>
          <w:p>
            <w:pPr>
              <w:autoSpaceDE w:val="0"/>
              <w:autoSpaceDN w:val="0"/>
              <w:adjustRightInd w:val="0"/>
              <w:spacing w:line="240" w:lineRule="exact"/>
              <w:jc w:val="center"/>
              <w:rPr>
                <w:rFonts w:hint="eastAsia"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6" w:hRule="atLeast"/>
          <w:jc w:val="center"/>
        </w:trPr>
        <w:tc>
          <w:tcPr>
            <w:tcW w:w="705" w:type="dxa"/>
            <w:tcMar>
              <w:left w:w="0" w:type="dxa"/>
              <w:right w:w="0" w:type="dxa"/>
            </w:tcMar>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GP2022-11</w:t>
            </w:r>
          </w:p>
        </w:tc>
        <w:tc>
          <w:tcPr>
            <w:tcW w:w="690" w:type="dxa"/>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cs="Times New Roman"/>
                <w:szCs w:val="21"/>
                <w:lang w:val="en-US" w:eastAsia="zh-CN"/>
              </w:rPr>
              <w:t>惠城区水口新民洛塘片区JD114-05-01地块</w:t>
            </w:r>
          </w:p>
        </w:tc>
        <w:tc>
          <w:tcPr>
            <w:tcW w:w="615"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JD114-05-01</w:t>
            </w:r>
          </w:p>
        </w:tc>
        <w:tc>
          <w:tcPr>
            <w:tcW w:w="570" w:type="dxa"/>
            <w:tcMar>
              <w:left w:w="0" w:type="dxa"/>
              <w:right w:w="0" w:type="dxa"/>
            </w:tcMar>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一类工业用地（兼容一类物流仓储用地）</w:t>
            </w:r>
          </w:p>
        </w:tc>
        <w:tc>
          <w:tcPr>
            <w:tcW w:w="774"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11615.74</w:t>
            </w:r>
          </w:p>
        </w:tc>
        <w:tc>
          <w:tcPr>
            <w:tcW w:w="948"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12453</w:t>
            </w:r>
          </w:p>
        </w:tc>
        <w:tc>
          <w:tcPr>
            <w:tcW w:w="72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≥30</w:t>
            </w:r>
          </w:p>
        </w:tc>
        <w:tc>
          <w:tcPr>
            <w:tcW w:w="672"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1.6</w:t>
            </w:r>
            <w:r>
              <w:rPr>
                <w:rFonts w:hint="default" w:ascii="仿宋_GB2312" w:hAnsi="Times New Roman" w:eastAsia="仿宋_GB2312" w:cs="Times New Roman"/>
                <w:szCs w:val="21"/>
                <w:lang w:val="en-US" w:eastAsia="zh-CN"/>
              </w:rPr>
              <w:t>-</w:t>
            </w:r>
            <w:r>
              <w:rPr>
                <w:rFonts w:hint="eastAsia" w:ascii="仿宋_GB2312" w:hAnsi="Times New Roman" w:eastAsia="仿宋_GB2312" w:cs="Times New Roman"/>
                <w:szCs w:val="21"/>
                <w:lang w:val="en-US" w:eastAsia="zh-CN"/>
              </w:rPr>
              <w:t>2</w:t>
            </w:r>
            <w:r>
              <w:rPr>
                <w:rFonts w:hint="default" w:ascii="仿宋_GB2312" w:hAnsi="Times New Roman" w:eastAsia="仿宋_GB2312" w:cs="Times New Roman"/>
                <w:szCs w:val="21"/>
                <w:lang w:val="en-US" w:eastAsia="zh-CN"/>
              </w:rPr>
              <w:t>.</w:t>
            </w:r>
            <w:r>
              <w:rPr>
                <w:rFonts w:hint="eastAsia" w:ascii="仿宋_GB2312" w:hAnsi="Times New Roman" w:eastAsia="仿宋_GB2312" w:cs="Times New Roman"/>
                <w:szCs w:val="21"/>
                <w:lang w:val="en-US" w:eastAsia="zh-CN"/>
              </w:rPr>
              <w:t>5</w:t>
            </w:r>
          </w:p>
        </w:tc>
        <w:tc>
          <w:tcPr>
            <w:tcW w:w="165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19925-31132（其中配套设施面积≥100）</w:t>
            </w:r>
          </w:p>
        </w:tc>
        <w:tc>
          <w:tcPr>
            <w:tcW w:w="1087"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行政办公及生活服务设施每100平方米计容积率建筑面积≥1个，厂房及仓储每100平方米计容积率建筑面积≥0.3个，停车场须按不低于总停车位的10%的比例配置充电设施。</w:t>
            </w:r>
          </w:p>
        </w:tc>
        <w:tc>
          <w:tcPr>
            <w:tcW w:w="900"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15-20</w:t>
            </w:r>
          </w:p>
        </w:tc>
        <w:tc>
          <w:tcPr>
            <w:tcW w:w="979"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电气机械及器材制造业</w:t>
            </w:r>
          </w:p>
        </w:tc>
        <w:tc>
          <w:tcPr>
            <w:tcW w:w="670"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50年</w:t>
            </w:r>
          </w:p>
          <w:p>
            <w:pPr>
              <w:jc w:val="center"/>
              <w:rPr>
                <w:rFonts w:hint="eastAsia" w:ascii="仿宋_GB2312" w:hAnsi="Times New Roman" w:eastAsia="仿宋_GB2312" w:cs="Times New Roman"/>
                <w:szCs w:val="21"/>
                <w:lang w:val="en-US" w:eastAsia="zh-CN"/>
              </w:rPr>
            </w:pPr>
          </w:p>
        </w:tc>
      </w:tr>
    </w:tbl>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- 4 -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1</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rPr>
    </w:pPr>
  </w:p>
  <w:p>
    <w:pPr>
      <w:pStyle w:val="5"/>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5C969B"/>
    <w:multiLevelType w:val="singleLevel"/>
    <w:tmpl w:val="015C96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F36E6"/>
    <w:rsid w:val="045C3FD8"/>
    <w:rsid w:val="047761CC"/>
    <w:rsid w:val="05871B40"/>
    <w:rsid w:val="07386886"/>
    <w:rsid w:val="082B1937"/>
    <w:rsid w:val="0D167AC3"/>
    <w:rsid w:val="0DF23899"/>
    <w:rsid w:val="0E7A65F6"/>
    <w:rsid w:val="101D3BC2"/>
    <w:rsid w:val="10BD4DFA"/>
    <w:rsid w:val="111502FA"/>
    <w:rsid w:val="11497254"/>
    <w:rsid w:val="137618AF"/>
    <w:rsid w:val="1378696F"/>
    <w:rsid w:val="13D50F1B"/>
    <w:rsid w:val="14895F86"/>
    <w:rsid w:val="167673A1"/>
    <w:rsid w:val="17AA0480"/>
    <w:rsid w:val="188D227F"/>
    <w:rsid w:val="1A0B2C56"/>
    <w:rsid w:val="1AA5305E"/>
    <w:rsid w:val="1ADB0E54"/>
    <w:rsid w:val="1C5904D7"/>
    <w:rsid w:val="1DE30B94"/>
    <w:rsid w:val="1E862B6D"/>
    <w:rsid w:val="1F7C2358"/>
    <w:rsid w:val="20ED2229"/>
    <w:rsid w:val="22890C8D"/>
    <w:rsid w:val="25032222"/>
    <w:rsid w:val="28774868"/>
    <w:rsid w:val="2A6B42FA"/>
    <w:rsid w:val="2A870225"/>
    <w:rsid w:val="2AC221EF"/>
    <w:rsid w:val="2B5D4967"/>
    <w:rsid w:val="2B991EB8"/>
    <w:rsid w:val="304C7078"/>
    <w:rsid w:val="31CE6D72"/>
    <w:rsid w:val="35335FA2"/>
    <w:rsid w:val="35521EEE"/>
    <w:rsid w:val="36061489"/>
    <w:rsid w:val="361F3858"/>
    <w:rsid w:val="37607760"/>
    <w:rsid w:val="380440B7"/>
    <w:rsid w:val="381E07C6"/>
    <w:rsid w:val="386A2371"/>
    <w:rsid w:val="3878763D"/>
    <w:rsid w:val="38BD14D1"/>
    <w:rsid w:val="393D0EAE"/>
    <w:rsid w:val="3A1539BC"/>
    <w:rsid w:val="3B315140"/>
    <w:rsid w:val="3C13026D"/>
    <w:rsid w:val="3DDC60B5"/>
    <w:rsid w:val="3F3714BF"/>
    <w:rsid w:val="40231E47"/>
    <w:rsid w:val="40363F40"/>
    <w:rsid w:val="411B39E1"/>
    <w:rsid w:val="42297073"/>
    <w:rsid w:val="42CE6157"/>
    <w:rsid w:val="43706132"/>
    <w:rsid w:val="45C047BF"/>
    <w:rsid w:val="4A1228DB"/>
    <w:rsid w:val="4A1B1ECC"/>
    <w:rsid w:val="4AE74DD0"/>
    <w:rsid w:val="4C2E14D5"/>
    <w:rsid w:val="4F861E18"/>
    <w:rsid w:val="50AC3441"/>
    <w:rsid w:val="538C505C"/>
    <w:rsid w:val="55B64659"/>
    <w:rsid w:val="565101CA"/>
    <w:rsid w:val="567F481B"/>
    <w:rsid w:val="57A3234F"/>
    <w:rsid w:val="57C844D5"/>
    <w:rsid w:val="596A13D8"/>
    <w:rsid w:val="5A893EB0"/>
    <w:rsid w:val="5AF873B7"/>
    <w:rsid w:val="5D241B5A"/>
    <w:rsid w:val="5E3B0440"/>
    <w:rsid w:val="5E736C4B"/>
    <w:rsid w:val="606821F3"/>
    <w:rsid w:val="60BF3E28"/>
    <w:rsid w:val="63EB7865"/>
    <w:rsid w:val="64D925C4"/>
    <w:rsid w:val="68527CA2"/>
    <w:rsid w:val="692A6240"/>
    <w:rsid w:val="6EB83079"/>
    <w:rsid w:val="6F4B3B48"/>
    <w:rsid w:val="73BE7EBD"/>
    <w:rsid w:val="73D33D8C"/>
    <w:rsid w:val="748840AA"/>
    <w:rsid w:val="761352C3"/>
    <w:rsid w:val="77724743"/>
    <w:rsid w:val="77DD303C"/>
    <w:rsid w:val="79E82C45"/>
    <w:rsid w:val="7ACA2817"/>
    <w:rsid w:val="7B832F79"/>
    <w:rsid w:val="7D060077"/>
    <w:rsid w:val="7F252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2019-12-12T06:35:00Z</dcterms:created>
  <dc:creator>Administrator</dc:creator>
  <cp:lastModifiedBy>叶舒</cp:lastModifiedBy>
  <cp:lastPrinted>2022-03-09T07:18:00Z</cp:lastPrinted>
  <dcterms:modified xsi:type="dcterms:W3CDTF">2022-05-13T02:42:08Z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2376193916E34C638ABC7AA510448726</vt:lpwstr>
  </property>
</Properties>
</file>